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6257D9"/>
          <w:sz w:val="18"/>
        </w:rPr>
        <w:t>COMPETENCY EVIDENCE BRIEF</w:t>
      </w:r>
    </w:p>
    <w:p>
      <w:pPr>
        <w:spacing w:after="80"/>
      </w:pPr>
      <w:r>
        <w:rPr>
          <w:rFonts w:ascii="Calibri" w:hAnsi="Calibri"/>
          <w:b/>
          <w:color w:val="212037"/>
          <w:sz w:val="46"/>
        </w:rPr>
        <w:t>Managing a Personal Engineering Project</w:t>
      </w:r>
    </w:p>
    <w:p>
      <w:pPr>
        <w:spacing w:after="240"/>
      </w:pPr>
      <w:r>
        <w:rPr>
          <w:rFonts w:ascii="Calibri" w:hAnsi="Calibri"/>
          <w:color w:val="676577"/>
          <w:sz w:val="23"/>
        </w:rPr>
        <w:t>Planning, delivering and evidencing the Learning Planner web application.</w:t>
      </w:r>
    </w:p>
    <w:p>
      <w:pPr>
        <w:spacing w:before="0" w:after="240"/>
      </w:pPr>
      <w:r>
        <w:rPr>
          <w:b/>
        </w:rPr>
        <w:t xml:space="preserve">Project: </w:t>
      </w:r>
      <w:r>
        <w:t xml:space="preserve">Learning Planner    </w:t>
      </w:r>
      <w:r>
        <w:rPr>
          <w:b/>
        </w:rPr>
        <w:t xml:space="preserve">Date: </w:t>
      </w:r>
      <w:r>
        <w:t xml:space="preserve">14 August 2026    </w:t>
      </w:r>
      <w:r>
        <w:rPr>
          <w:b/>
        </w:rPr>
        <w:t xml:space="preserve">Status: </w:t>
      </w:r>
      <w:r>
        <w:rPr>
          <w:color w:val="0B8F74"/>
        </w:rPr>
        <w:t>Implemented</w:t>
      </w:r>
    </w:p>
    <w:p>
      <w:pPr>
        <w:pStyle w:val="Heading2"/>
      </w:pPr>
      <w:r>
        <w:t>Objective</w:t>
      </w:r>
    </w:p>
    <w:p>
      <w:r>
        <w:t>Plan and deliver a realistic solo web application while making scope, dependencies, checkpoints, decisions and progress auditable to an engineering assessor.</w:t>
      </w:r>
    </w:p>
    <w:p>
      <w:pPr>
        <w:pStyle w:val="Heading2"/>
      </w:pPr>
      <w:r>
        <w:t>Approach</w:t>
      </w:r>
    </w:p>
    <w:p>
      <w:r>
        <w:rPr>
          <w:b/>
          <w:color w:val="1F4D78"/>
        </w:rPr>
        <w:t xml:space="preserve">Scope: </w:t>
      </w:r>
      <w:r>
        <w:t>I selected a local-first learning planner: substantial enough for typed state, CRUD, validation, responsive design and test automation, but bounded by excluding accounts, cloud sync and a backend.</w:t>
      </w:r>
    </w:p>
    <w:p>
      <w:r>
        <w:rPr>
          <w:b/>
          <w:color w:val="1F4D78"/>
        </w:rPr>
        <w:t xml:space="preserve">Control: </w:t>
      </w:r>
      <w:r>
        <w:t>I converted the work into P01–P14, linked dependencies, identified the critical path and defined six milestone exit checks. A versioned board snapshot, roadmap, test log and decision log preserve the evidence.</w:t>
      </w:r>
    </w:p>
    <w:p>
      <w:pPr>
        <w:pStyle w:val="Heading2"/>
      </w:pPr>
      <w:r>
        <w:t>Work completed</w:t>
      </w:r>
    </w:p>
    <w:p>
      <w:r>
        <w:rPr>
          <w:b/>
          <w:color w:val="1F4D78"/>
        </w:rPr>
        <w:t xml:space="preserve">Foundation: </w:t>
      </w:r>
      <w:r>
        <w:t>Created the React/TypeScript/Vite project, quality scripts, stable domain interfaces, a versioned storage adapter and realistic sample data.</w:t>
      </w:r>
    </w:p>
    <w:p>
      <w:r>
        <w:rPr>
          <w:b/>
          <w:color w:val="1F4D78"/>
        </w:rPr>
        <w:t xml:space="preserve">Product: </w:t>
      </w:r>
      <w:r>
        <w:t>Delivered goal/task CRUD, dashboard summaries, search/filter/sort, validation, confirmation, JSON backup/recovery and accessible responsive interactions.</w:t>
      </w:r>
    </w:p>
    <w:p>
      <w:r>
        <w:rPr>
          <w:b/>
          <w:color w:val="1F4D78"/>
        </w:rPr>
        <w:t xml:space="preserve">Governance: </w:t>
      </w:r>
      <w:r>
        <w:t>Recorded acceptance criteria, dependency mapping, milestone status, risks and the RWD-01 decision. Manual Edge/device items remain visibly pending rather than being reported as complete.</w:t>
      </w:r>
    </w:p>
    <w:p>
      <w:pPr>
        <w:spacing w:before="100" w:after="180"/>
        <w:ind w:left="173" w:right="173"/>
        <w:shd w:fill="F2F4F7"/>
        <w:pBdr>
          <w:top w:val="single" w:sz="6" w:color="D9DCE4" w:space="6"/>
          <w:left w:val="single" w:sz="6" w:color="D9DCE4" w:space="6"/>
          <w:bottom w:val="single" w:sz="6" w:color="D9DCE4" w:space="6"/>
          <w:right w:val="single" w:sz="6" w:color="D9DCE4" w:space="6"/>
        </w:pBdr>
      </w:pPr>
      <w:r>
        <w:rPr>
          <w:rFonts w:ascii="Calibri" w:hAnsi="Calibri"/>
          <w:b/>
          <w:color w:val="1F4D78"/>
          <w:sz w:val="21"/>
        </w:rPr>
        <w:t xml:space="preserve">Critical path  </w:t>
      </w:r>
      <w:r>
        <w:rPr>
          <w:rFonts w:ascii="Calibri" w:hAnsi="Calibri"/>
          <w:color w:val="212037"/>
          <w:sz w:val="21"/>
        </w:rPr>
        <w:t>P01 → P02/P03 → P04 → P05 → P06 → P07 → P10 → P11 → P12 → P13 → P14. Search/filter and backup proceeded as parallel branches before accessibility and final testing.</w:t>
      </w:r>
    </w:p>
    <w:p>
      <w:r>
        <w:br w:type="page"/>
      </w:r>
    </w:p>
    <w:p>
      <w:pPr>
        <w:pStyle w:val="Heading2"/>
      </w:pPr>
      <w:r>
        <w:t>Testing performed</w:t>
      </w:r>
    </w:p>
    <w:p>
      <w:r>
        <w:rPr>
          <w:b/>
          <w:color w:val="1F4D78"/>
        </w:rPr>
        <w:t xml:space="preserve">Quality gate: </w:t>
      </w:r>
      <w:r>
        <w:t>Lint, nine unit/component tests, TypeScript compilation and the production build passed.</w:t>
      </w:r>
    </w:p>
    <w:p>
      <w:r>
        <w:rPr>
          <w:b/>
          <w:color w:val="1F4D78"/>
        </w:rPr>
        <w:t xml:space="preserve">Browser workflows: </w:t>
      </w:r>
      <w:r>
        <w:t>Playwright verified persisted goal creation, task search/status changes and horizontal-overflow protection across Google Chrome, Chromium, Firefox and all required automated viewports.</w:t>
      </w:r>
    </w:p>
    <w:p>
      <w:r>
        <w:rPr>
          <w:b/>
          <w:color w:val="1F4D78"/>
        </w:rPr>
        <w:t xml:space="preserve">Checkpoint review: </w:t>
      </w:r>
      <w:r>
        <w:t>I compared implementation against each backlog acceptance criterion and retained named test/evidence IDs. This exposed one visual defect at 1680×1050, which was fixed and retested.</w:t>
      </w:r>
    </w:p>
    <w:p>
      <w:pPr>
        <w:pStyle w:val="Heading2"/>
      </w:pPr>
      <w:r>
        <w:t>Outcome</w:t>
      </w:r>
    </w:p>
    <w:p>
      <w:r>
        <w:t>The project is runnable from a clean clone, the automated delivery scope is complete and the repository contains a portable audit trail. The assessor-ready release remains gated by genuine Edge and two-physical-device sessions, for which a signed checklist and screenshot naming protocol are supplied.</w:t>
      </w:r>
    </w:p>
    <w:p>
      <w:pPr>
        <w:pStyle w:val="Heading2"/>
      </w:pPr>
      <w:r>
        <w:t>Lessons learned</w:t>
      </w:r>
    </w:p>
    <w:p>
      <w:r>
        <w:rPr>
          <w:b/>
          <w:color w:val="1F4D78"/>
        </w:rPr>
        <w:t xml:space="preserve">Make dependencies explicit: </w:t>
      </w:r>
      <w:r>
        <w:t>The data model and responsive shell could progress in parallel, but CRUD depended on both; documenting that convergence kept sequencing clear.</w:t>
      </w:r>
    </w:p>
    <w:p>
      <w:r>
        <w:rPr>
          <w:b/>
          <w:color w:val="1F4D78"/>
        </w:rPr>
        <w:t xml:space="preserve">Treat evidence as a deliverable: </w:t>
      </w:r>
      <w:r>
        <w:t>Test IDs, seeded data and screenshot names must be designed early. Retrofitting them would have produced weaker, less repeatable evidence.</w:t>
      </w:r>
    </w:p>
    <w:p>
      <w:r>
        <w:rPr>
          <w:b/>
          <w:color w:val="1F4D78"/>
        </w:rPr>
        <w:t xml:space="preserve">Report status truthfully: </w:t>
      </w:r>
      <w:r>
        <w:t>A viewport emulator is not a physical device and Chromium is not Edge. Visible pending checkpoints are stronger engineering evidence than unsupported completion claims.</w:t>
      </w:r>
    </w:p>
    <w:p>
      <w:pPr>
        <w:spacing w:before="100" w:after="180"/>
        <w:ind w:left="173" w:right="173"/>
        <w:shd w:fill="EEF0FF"/>
        <w:pBdr>
          <w:top w:val="single" w:sz="6" w:color="D9DCE4" w:space="6"/>
          <w:left w:val="single" w:sz="6" w:color="D9DCE4" w:space="6"/>
          <w:bottom w:val="single" w:sz="6" w:color="D9DCE4" w:space="6"/>
          <w:right w:val="single" w:sz="6" w:color="D9DCE4" w:space="6"/>
        </w:pBdr>
      </w:pPr>
      <w:r>
        <w:rPr>
          <w:rFonts w:ascii="Calibri" w:hAnsi="Calibri"/>
          <w:b/>
          <w:color w:val="1F4D78"/>
          <w:sz w:val="21"/>
        </w:rPr>
        <w:t xml:space="preserve">Evidence map  </w:t>
      </w:r>
      <w:r>
        <w:rPr>
          <w:rFonts w:ascii="Calibri" w:hAnsi="Calibri"/>
          <w:color w:val="212037"/>
          <w:sz w:val="21"/>
        </w:rPr>
        <w:t>PM-01 overview and acceptance criteria · PM-02 backlog/dependencies/roadmap · PM-03 test and checkpoint logs · Appendix figures show the delivered application and validated goal workflow.</w:t>
      </w:r>
    </w:p>
    <w:p>
      <w:r>
        <w:br w:type="page"/>
      </w:r>
    </w:p>
    <w:p>
      <w:pPr>
        <w:spacing w:after="40"/>
      </w:pPr>
      <w:r>
        <w:rPr>
          <w:rFonts w:ascii="Calibri" w:hAnsi="Calibri"/>
          <w:b/>
          <w:color w:val="6257D9"/>
          <w:sz w:val="17"/>
        </w:rPr>
        <w:t>SCREENSHOT APPENDIX · EXCLUDED FROM TWO-PAGE NARRATIVE LIMIT</w:t>
      </w:r>
    </w:p>
    <w:p>
      <w:pPr>
        <w:spacing w:after="100"/>
      </w:pPr>
      <w:r>
        <w:rPr>
          <w:rFonts w:ascii="Calibri" w:hAnsi="Calibri"/>
          <w:b/>
          <w:color w:val="212037"/>
          <w:sz w:val="30"/>
        </w:rPr>
        <w:t>PM-04  Evidence-ready application at 1920×1080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214688"/>
            <wp:docPr id="1" name="Picture 1" descr="Evidence-ready application at 1920×1080" title="PM-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sponsive-1920x1080-dashboard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146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rPr>
          <w:rFonts w:ascii="Calibri" w:hAnsi="Calibri"/>
          <w:i/>
          <w:color w:val="676577"/>
          <w:sz w:val="18"/>
        </w:rPr>
        <w:t>Figure PM-04. Evidence-ready application at 1920×1080. Generated from non-sensitive sample data.</w:t>
      </w:r>
    </w:p>
    <w:p>
      <w:r>
        <w:br w:type="page"/>
      </w:r>
    </w:p>
    <w:p>
      <w:pPr>
        <w:spacing w:after="40"/>
      </w:pPr>
      <w:r>
        <w:rPr>
          <w:rFonts w:ascii="Calibri" w:hAnsi="Calibri"/>
          <w:b/>
          <w:color w:val="6257D9"/>
          <w:sz w:val="17"/>
        </w:rPr>
        <w:t>SCREENSHOT APPENDIX · EXCLUDED FROM TWO-PAGE NARRATIVE LIMIT</w:t>
      </w:r>
    </w:p>
    <w:p>
      <w:pPr>
        <w:spacing w:after="100"/>
      </w:pPr>
      <w:r>
        <w:rPr>
          <w:rFonts w:ascii="Calibri" w:hAnsi="Calibri"/>
          <w:b/>
          <w:color w:val="212037"/>
          <w:sz w:val="30"/>
        </w:rPr>
        <w:t>PM-05  Goal creation workflow at the 1680×1050 checkpoint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715000" cy="3571875"/>
            <wp:docPr id="2" name="Picture 2" descr="Goal creation workflow at the 1680×1050 checkpoint" title="PM-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sponsive-1680x1050-goal-dialog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  <w:jc w:val="center"/>
      </w:pPr>
      <w:r>
        <w:rPr>
          <w:rFonts w:ascii="Calibri" w:hAnsi="Calibri"/>
          <w:i/>
          <w:color w:val="676577"/>
          <w:sz w:val="18"/>
        </w:rPr>
        <w:t>Figure PM-05. Goal creation workflow at the 1680×1050 checkpoint. Generated from non-sensitive sample data.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440" w:bottom="1123" w:left="1440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76577"/>
        <w:sz w:val="17"/>
      </w:rPr>
      <w:t xml:space="preserve">Learning Planner · Competency evidence ·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76577"/>
        <w:sz w:val="17"/>
      </w:rPr>
      <w:t>ENGINEERING COMPETENCY  ·  CREATE AND MANAGE PERSONAL PROJECTS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2120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Managing a Personal Engineering Project</dc:title>
  <dc:subject>Create and manage personal projects</dc:subject>
  <dc:creator>Learning Planner project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