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6257D9"/>
          <w:sz w:val="18"/>
        </w:rPr>
        <w:t>COMPETENCY EVIDENCE BRIEF</w:t>
      </w:r>
    </w:p>
    <w:p>
      <w:pPr>
        <w:spacing w:after="80"/>
      </w:pPr>
      <w:r>
        <w:rPr>
          <w:rFonts w:ascii="Calibri" w:hAnsi="Calibri"/>
          <w:b/>
          <w:color w:val="212037"/>
          <w:sz w:val="46"/>
        </w:rPr>
        <w:t>Testing Across Multiple Browsers</w:t>
      </w:r>
    </w:p>
    <w:p>
      <w:pPr>
        <w:spacing w:after="240"/>
      </w:pPr>
      <w:r>
        <w:rPr>
          <w:rFonts w:ascii="Calibri" w:hAnsi="Calibri"/>
          <w:color w:val="676577"/>
          <w:sz w:val="23"/>
        </w:rPr>
        <w:t>A consistent browser strategy for Google Chrome, Mozilla Firefox and Microsoft Edge.</w:t>
      </w:r>
    </w:p>
    <w:p>
      <w:pPr>
        <w:spacing w:before="0" w:after="240"/>
      </w:pPr>
      <w:r>
        <w:rPr>
          <w:b/>
        </w:rPr>
        <w:t xml:space="preserve">Project: </w:t>
      </w:r>
      <w:r>
        <w:t xml:space="preserve">Learning Planner    </w:t>
      </w:r>
      <w:r>
        <w:rPr>
          <w:b/>
        </w:rPr>
        <w:t xml:space="preserve">Date: </w:t>
      </w:r>
      <w:r>
        <w:t xml:space="preserve">14 August 2026    </w:t>
      </w:r>
      <w:r>
        <w:rPr>
          <w:b/>
        </w:rPr>
        <w:t xml:space="preserve">Status: </w:t>
      </w:r>
      <w:r>
        <w:rPr>
          <w:color w:val="97630C"/>
        </w:rPr>
        <w:t>Edge session pending</w:t>
      </w:r>
    </w:p>
    <w:p>
      <w:pPr>
        <w:pStyle w:val="Heading2"/>
      </w:pPr>
      <w:r>
        <w:t>Objective</w:t>
      </w:r>
    </w:p>
    <w:p>
      <w:r>
        <w:t>Show that the same Learning Planner workflows and responsive layouts behave consistently in Google Chrome, Microsoft Edge and Mozilla Firefox, with reproducible developer-tools evidence and compatibility remediation.</w:t>
      </w:r>
    </w:p>
    <w:p>
      <w:pPr>
        <w:pStyle w:val="Heading2"/>
      </w:pPr>
      <w:r>
        <w:t>Approach</w:t>
      </w:r>
    </w:p>
    <w:p>
      <w:r>
        <w:rPr>
          <w:b/>
          <w:color w:val="1F4D78"/>
        </w:rPr>
        <w:t xml:space="preserve">Common scenario: </w:t>
      </w:r>
      <w:r>
        <w:t>Each browser starts from the same seeded dataset and executes persisted goal creation, task search/status, storage reload and overflow checks. This separates browser differences from test-data differences.</w:t>
      </w:r>
    </w:p>
    <w:p>
      <w:r>
        <w:rPr>
          <w:b/>
          <w:color w:val="1F4D78"/>
        </w:rPr>
        <w:t xml:space="preserve">Coverage: </w:t>
      </w:r>
      <w:r>
        <w:t>Playwright runs the installed Google Chrome channel and a Mozilla Firefox build. A Windows Edge protocol repeats the scenario and captures version, Console, Local Storage and computed Grid evidence.</w:t>
      </w:r>
    </w:p>
    <w:p>
      <w:pPr>
        <w:pStyle w:val="Heading2"/>
      </w:pPr>
      <w:r>
        <w:t>Work completed</w:t>
      </w:r>
    </w:p>
    <w:p>
      <w:r>
        <w:rPr>
          <w:b/>
          <w:color w:val="1F4D78"/>
        </w:rPr>
        <w:t xml:space="preserve">Compatibility design: </w:t>
      </w:r>
      <w:r>
        <w:t>Used semantic HTML, system fonts, standards-based Grid/Flexbox, visible focus, reduced motion, a `crypto.randomUUID` fallback and validated browser storage.</w:t>
      </w:r>
    </w:p>
    <w:p>
      <w:r>
        <w:rPr>
          <w:b/>
          <w:color w:val="1F4D78"/>
        </w:rPr>
        <w:t xml:space="preserve">Developer tools: </w:t>
      </w:r>
      <w:r>
        <w:t>Console review checks runtime errors; Application/Storage verifies persistence; computed styles expose breakpoint differences; the accessibility tree verifies useful control names and structure.</w:t>
      </w:r>
    </w:p>
    <w:p>
      <w:r>
        <w:rPr>
          <w:b/>
          <w:color w:val="1F4D78"/>
        </w:rPr>
        <w:t xml:space="preserve">Regression path: </w:t>
      </w:r>
      <w:r>
        <w:t>A reproduced issue must record environment and expected/actual behaviour, use the smallest standards-based fix and gain an automated or documented manual retest.</w:t>
      </w:r>
    </w:p>
    <w:p>
      <w:pPr>
        <w:spacing w:before="100" w:after="180"/>
        <w:ind w:left="173" w:right="173"/>
        <w:shd w:fill="F2F4F7"/>
        <w:pBdr>
          <w:top w:val="single" w:sz="6" w:color="D9DCE4" w:space="6"/>
          <w:left w:val="single" w:sz="6" w:color="D9DCE4" w:space="6"/>
          <w:bottom w:val="single" w:sz="6" w:color="D9DCE4" w:space="6"/>
          <w:right w:val="single" w:sz="6" w:color="D9DCE4" w:space="6"/>
        </w:pBdr>
      </w:pPr>
      <w:r>
        <w:rPr>
          <w:rFonts w:ascii="Calibri" w:hAnsi="Calibri"/>
          <w:b/>
          <w:color w:val="1F4D78"/>
          <w:sz w:val="21"/>
        </w:rPr>
        <w:t xml:space="preserve">Compatibility concerns  </w:t>
      </w:r>
      <w:r>
        <w:rPr>
          <w:rFonts w:ascii="Calibri" w:hAnsi="Calibri"/>
          <w:color w:val="212037"/>
          <w:sz w:val="21"/>
        </w:rPr>
        <w:t>Date inputs, font metrics/wrapping, sticky positioning, focus outlines, Grid sizing, downloads/uploads, localStorage and UUID support are explicit checklist items.</w:t>
      </w:r>
    </w:p>
    <w:p>
      <w:r>
        <w:br w:type="page"/>
      </w:r>
    </w:p>
    <w:p>
      <w:pPr>
        <w:pStyle w:val="Heading2"/>
      </w:pPr>
      <w:r>
        <w:t>Testing performed</w:t>
      </w:r>
    </w:p>
    <w:p>
      <w:r>
        <w:rPr>
          <w:b/>
          <w:color w:val="1F4D78"/>
        </w:rPr>
        <w:t xml:space="preserve">Google Chrome: </w:t>
      </w:r>
      <w:r>
        <w:t>The installed Chrome channel passed the core planning journey, task interaction, overflow check and evidence capture.</w:t>
      </w:r>
    </w:p>
    <w:p>
      <w:r>
        <w:rPr>
          <w:b/>
          <w:color w:val="1F4D78"/>
        </w:rPr>
        <w:t xml:space="preserve">Mozilla Firefox: </w:t>
      </w:r>
      <w:r>
        <w:t>Firefox passed the same functional and overflow checks; its seeded dashboard was captured for direct comparison.</w:t>
      </w:r>
    </w:p>
    <w:p>
      <w:r>
        <w:rPr>
          <w:b/>
          <w:color w:val="1F4D78"/>
        </w:rPr>
        <w:t xml:space="preserve">Microsoft Edge: </w:t>
      </w:r>
      <w:r>
        <w:t>The Windows/manual session remains pending because Edge is not installed on this Linux host. The checklist requires the stable version page, app, Console and Local Storage captures.</w:t>
      </w:r>
    </w:p>
    <w:p>
      <w:pPr>
        <w:pStyle w:val="Heading2"/>
      </w:pPr>
      <w:r>
        <w:t>Outcome</w:t>
      </w:r>
    </w:p>
    <w:p>
      <w:r>
        <w:t>Chrome and Firefox provide completed, matching automated evidence with no application console errors. Edge is not claimed complete: the document becomes assessor-ready only after the genuine Edge session is logged and its appendix screenshots are added.</w:t>
      </w:r>
    </w:p>
    <w:p>
      <w:pPr>
        <w:pStyle w:val="Heading2"/>
      </w:pPr>
      <w:r>
        <w:t>Lessons learned</w:t>
      </w:r>
    </w:p>
    <w:p>
      <w:r>
        <w:rPr>
          <w:b/>
          <w:color w:val="1F4D78"/>
        </w:rPr>
        <w:t xml:space="preserve">Name browsers precisely: </w:t>
      </w:r>
      <w:r>
        <w:t>A Chromium engine run helps compatibility, but it is not evidence of the branded Chrome or Edge products. Launching the installed Chrome channel strengthened the result.</w:t>
      </w:r>
    </w:p>
    <w:p>
      <w:r>
        <w:rPr>
          <w:b/>
          <w:color w:val="1F4D78"/>
        </w:rPr>
        <w:t xml:space="preserve">Use tools to explain differences: </w:t>
      </w:r>
      <w:r>
        <w:t>Computed styles, console messages and stored data are more diagnostic than screenshots alone; together they show whether a problem is layout, runtime or persistence.</w:t>
      </w:r>
    </w:p>
    <w:p>
      <w:r>
        <w:rPr>
          <w:b/>
          <w:color w:val="1F4D78"/>
        </w:rPr>
        <w:t xml:space="preserve">Prefer progressive enhancement: </w:t>
      </w:r>
      <w:r>
        <w:t>Feature detection and narrow fallbacks are safer than broad polyfills. Add a prefix/polyfill only for a reproduced support gap and retain a regression test.</w:t>
      </w:r>
    </w:p>
    <w:p>
      <w:pPr>
        <w:spacing w:before="100" w:after="180"/>
        <w:ind w:left="173" w:right="173"/>
        <w:shd w:fill="EEF0FF"/>
        <w:pBdr>
          <w:top w:val="single" w:sz="6" w:color="D9DCE4" w:space="6"/>
          <w:left w:val="single" w:sz="6" w:color="D9DCE4" w:space="6"/>
          <w:bottom w:val="single" w:sz="6" w:color="D9DCE4" w:space="6"/>
          <w:right w:val="single" w:sz="6" w:color="D9DCE4" w:space="6"/>
        </w:pBdr>
      </w:pPr>
      <w:r>
        <w:rPr>
          <w:rFonts w:ascii="Calibri" w:hAnsi="Calibri"/>
          <w:b/>
          <w:color w:val="1F4D78"/>
          <w:sz w:val="21"/>
        </w:rPr>
        <w:t xml:space="preserve">Backwards-compatibility response  </w:t>
      </w:r>
      <w:r>
        <w:rPr>
          <w:rFonts w:ascii="Calibri" w:hAnsi="Calibri"/>
          <w:color w:val="212037"/>
          <w:sz w:val="21"/>
        </w:rPr>
        <w:t>Confirm the support baseline, reproduce in the affected browser, prefer standards and feature detection, add Autoprefixer or a narrowly scoped fallback/polyfill only when needed, then rerun the full scenario.</w:t>
      </w:r>
    </w:p>
    <w:p>
      <w:r>
        <w:br w:type="page"/>
      </w:r>
    </w:p>
    <w:p>
      <w:pPr>
        <w:spacing w:after="40"/>
      </w:pPr>
      <w:r>
        <w:rPr>
          <w:rFonts w:ascii="Calibri" w:hAnsi="Calibri"/>
          <w:b/>
          <w:color w:val="6257D9"/>
          <w:sz w:val="17"/>
        </w:rPr>
        <w:t>SCREENSHOT APPENDIX · EXCLUDED FROM TWO-PAGE NARRATIVE LIMIT</w:t>
      </w:r>
    </w:p>
    <w:p>
      <w:pPr>
        <w:spacing w:after="100"/>
      </w:pPr>
      <w:r>
        <w:rPr>
          <w:rFonts w:ascii="Calibri" w:hAnsi="Calibri"/>
          <w:b/>
          <w:color w:val="212037"/>
          <w:sz w:val="30"/>
        </w:rPr>
        <w:t>BR-01  Google Chrome seeded dashboard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715000" cy="4451449"/>
            <wp:docPr id="1" name="Picture 1" descr="Google Chrome seeded dashboard" title="BR-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owser-chrome-dashboar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4514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rPr>
          <w:rFonts w:ascii="Calibri" w:hAnsi="Calibri"/>
          <w:i/>
          <w:color w:val="676577"/>
          <w:sz w:val="18"/>
        </w:rPr>
        <w:t>Figure BR-01. Google Chrome seeded dashboard. Generated from non-sensitive sample data.</w:t>
      </w:r>
    </w:p>
    <w:p>
      <w:r>
        <w:br w:type="page"/>
      </w:r>
    </w:p>
    <w:p>
      <w:pPr>
        <w:spacing w:after="40"/>
      </w:pPr>
      <w:r>
        <w:rPr>
          <w:rFonts w:ascii="Calibri" w:hAnsi="Calibri"/>
          <w:b/>
          <w:color w:val="6257D9"/>
          <w:sz w:val="17"/>
        </w:rPr>
        <w:t>SCREENSHOT APPENDIX · EXCLUDED FROM TWO-PAGE NARRATIVE LIMIT</w:t>
      </w:r>
    </w:p>
    <w:p>
      <w:pPr>
        <w:spacing w:after="100"/>
      </w:pPr>
      <w:r>
        <w:rPr>
          <w:rFonts w:ascii="Calibri" w:hAnsi="Calibri"/>
          <w:b/>
          <w:color w:val="212037"/>
          <w:sz w:val="30"/>
        </w:rPr>
        <w:t>BR-02  Mozilla Firefox seeded dashboard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715000" cy="4505027"/>
            <wp:docPr id="2" name="Picture 2" descr="Mozilla Firefox seeded dashboard" title="BR-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owser-firefox-dashboard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5050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rPr>
          <w:rFonts w:ascii="Calibri" w:hAnsi="Calibri"/>
          <w:i/>
          <w:color w:val="676577"/>
          <w:sz w:val="18"/>
        </w:rPr>
        <w:t>Figure BR-02. Mozilla Firefox seeded dashboard. Generated from non-sensitive sample data.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440" w:bottom="1123" w:left="144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76577"/>
        <w:sz w:val="17"/>
      </w:rPr>
      <w:t xml:space="preserve">Learning Planner · Competency evidence ·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76577"/>
        <w:sz w:val="17"/>
      </w:rPr>
      <w:t>ENGINEERING COMPETENCY  ·  TEST USING MULTIPLE BROWSERS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2120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Across Multiple Browsers</dc:title>
  <dc:subject>Test using multiple browsers</dc:subject>
  <dc:creator>Learning Planner project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