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B7791F"/>
          <w:sz w:val="18"/>
        </w:rPr>
        <w:t>COMPETENCY EVIDENCE</w:t>
      </w:r>
    </w:p>
    <w:p>
      <w:pPr>
        <w:spacing w:after="60"/>
      </w:pPr>
      <w:r>
        <w:rPr>
          <w:rFonts w:ascii="Calibri" w:hAnsi="Calibri"/>
          <w:b/>
          <w:color w:val="0B2545"/>
          <w:sz w:val="46"/>
        </w:rPr>
        <w:t>Create and Manage Personal Projects</w:t>
      </w:r>
    </w:p>
    <w:p>
      <w:pPr>
        <w:spacing w:after="200"/>
      </w:pPr>
      <w:r>
        <w:rPr>
          <w:rFonts w:ascii="Calibri" w:hAnsi="Calibri"/>
          <w:color w:val="65758B"/>
          <w:sz w:val="23"/>
        </w:rPr>
        <w:t>KnowledgeTechOps Engineering | Evidence from the Org Web personal platform</w:t>
      </w:r>
    </w:p>
    <w:p>
      <w:pPr>
        <w:spacing w:after="80"/>
      </w:pPr>
      <w:r>
        <w:rPr>
          <w:rFonts w:ascii="Calibri" w:hAnsi="Calibri"/>
          <w:b/>
          <w:color w:val="0B2545"/>
          <w:sz w:val="22"/>
        </w:rPr>
        <w:t xml:space="preserve">Project: </w:t>
      </w:r>
      <w:r>
        <w:rPr>
          <w:rFonts w:ascii="Calibri" w:hAnsi="Calibri"/>
          <w:color w:val="1F2937"/>
          <w:sz w:val="22"/>
        </w:rPr>
        <w:t>zainezq.com source, publishing pipeline and interactive experiences</w:t>
      </w:r>
    </w:p>
    <w:p>
      <w:pPr>
        <w:spacing w:after="200"/>
      </w:pPr>
      <w:r>
        <w:rPr>
          <w:rFonts w:ascii="Calibri" w:hAnsi="Calibri"/>
          <w:b/>
          <w:color w:val="0B2545"/>
          <w:sz w:val="22"/>
        </w:rPr>
        <w:t xml:space="preserve">Evidence period: </w:t>
      </w:r>
      <w:r>
        <w:rPr>
          <w:rFonts w:ascii="Calibri" w:hAnsi="Calibri"/>
          <w:color w:val="1F2937"/>
          <w:sz w:val="22"/>
        </w:rPr>
        <w:t>6 August 2025 to 11 August 2026 | 287 commits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B7C9DE"/>
          <w:left w:val="single" w:sz="8" w:space="0" w:color="B7C9DE"/>
          <w:bottom w:val="single" w:sz="8" w:space="0" w:color="B7C9DE"/>
          <w:right w:val="single" w:sz="8" w:space="0" w:color="B7C9DE"/>
          <w:insideH w:val="single" w:sz="8" w:space="0" w:color="B7C9DE"/>
          <w:insideV w:val="single" w:sz="8" w:space="0" w:color="B7C9DE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Calibri" w:hAnsi="Calibri"/>
                <w:b/>
                <w:color w:val="0B2545"/>
                <w:sz w:val="22"/>
              </w:rPr>
              <w:t xml:space="preserve">Claim. </w:t>
            </w:r>
            <w:r>
              <w:rPr>
                <w:rFonts w:ascii="Calibri" w:hAnsi="Calibri"/>
                <w:color w:val="1F2937"/>
                <w:sz w:val="22"/>
              </w:rPr>
              <w:t>I converted a broad personal-site ambition into visible work, an ordered delivery system and a maintained service. The repository shows planning, dependency control, iterative delivery, testing and follow-up after production issues.</w:t>
            </w:r>
          </w:p>
        </w:tc>
      </w:tr>
    </w:tbl>
    <w:p>
      <w:pPr>
        <w:pStyle w:val="Heading1"/>
        <w:keepNext/>
      </w:pPr>
      <w:r>
        <w:rPr>
          <w:rFonts w:ascii="Calibri" w:hAnsi="Calibri"/>
          <w:b/>
          <w:color w:val="2E74B5"/>
          <w:sz w:val="32"/>
        </w:rPr>
        <w:t>1 | How I organise the work</w:t>
      </w:r>
    </w:p>
    <w:p>
      <w:r>
        <w:rPr>
          <w:rFonts w:ascii="Calibri" w:hAnsi="Calibri"/>
          <w:color w:val="1F2937"/>
          <w:sz w:val="22"/>
        </w:rPr>
        <w:t>I use a lightweight Agile approach for uncertain creative and engineering work, with Waterfall-style gates where sequence matters. The backlog provides the written plan and state changes; Git commits provide the delivery record; tests and the build workflow provide release gates.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</w:tblPr>
      <w:tblGrid>
        <w:gridCol w:w="1800"/>
        <w:gridCol w:w="5100"/>
        <w:gridCol w:w="2460"/>
      </w:tblGrid>
      <w:tr>
        <w:trPr>
          <w:tblHeader w:val="true"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2545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18"/>
              </w:rPr>
              <w:t>Competency test</w:t>
            </w:r>
          </w:p>
        </w:tc>
        <w:tc>
          <w:tcPr>
            <w:tcW w:type="dxa" w:w="5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2545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18"/>
              </w:rPr>
              <w:t>Project evidence</w:t>
            </w:r>
          </w:p>
        </w:tc>
        <w:tc>
          <w:tcPr>
            <w:tcW w:type="dxa" w:w="2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2545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18"/>
              </w:rPr>
              <w:t>Verification</w:t>
            </w:r>
          </w:p>
        </w:tc>
      </w:tr>
      <w:tr>
        <w:tc>
          <w:tcPr>
            <w:tcW w:type="dxa" w:w="18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/>
                <w:color w:val="0B2545"/>
                <w:sz w:val="18"/>
              </w:rPr>
              <w:t>Written plan</w:t>
            </w:r>
          </w:p>
        </w:tc>
        <w:tc>
          <w:tcPr>
            <w:tcW w:type="dxa" w:w="5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 w:val="0"/>
                <w:color w:val="1F2937"/>
                <w:sz w:val="18"/>
              </w:rPr>
              <w:t>Backlog is explicitly separated into TODO, DOING and DONE. Completed items are dated, including the notes page and mobile board movement.</w:t>
            </w:r>
          </w:p>
        </w:tc>
        <w:tc>
          <w:tcPr>
            <w:tcW w:type="dxa" w:w="2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 w:val="0"/>
                <w:color w:val="65758B"/>
                <w:sz w:val="17"/>
              </w:rPr>
              <w:t>home/backlog.org; commit 903eb88</w:t>
            </w:r>
          </w:p>
        </w:tc>
      </w:tr>
      <w:tr>
        <w:tc>
          <w:tcPr>
            <w:tcW w:type="dxa" w:w="18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/>
                <w:color w:val="0B2545"/>
                <w:sz w:val="18"/>
              </w:rPr>
              <w:t>Flow and dependencies</w:t>
            </w:r>
          </w:p>
        </w:tc>
        <w:tc>
          <w:tcPr>
            <w:tcW w:type="dxa" w:w="5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 w:val="0"/>
                <w:color w:val="1F2937"/>
                <w:sz w:val="18"/>
              </w:rPr>
              <w:t>The README maps source and assets through the Emacs build, generated output, search indexing and deployment; runtime APIs are identified as an external dependency.</w:t>
            </w:r>
          </w:p>
        </w:tc>
        <w:tc>
          <w:tcPr>
            <w:tcW w:type="dxa" w:w="2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 w:val="0"/>
                <w:color w:val="65758B"/>
                <w:sz w:val="17"/>
              </w:rPr>
              <w:t>README.md: System overview / Build architecture</w:t>
            </w:r>
          </w:p>
        </w:tc>
      </w:tr>
      <w:tr>
        <w:tc>
          <w:tcPr>
            <w:tcW w:type="dxa" w:w="18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/>
                <w:color w:val="0B2545"/>
                <w:sz w:val="18"/>
              </w:rPr>
              <w:t>Progress and expectations</w:t>
            </w:r>
          </w:p>
        </w:tc>
        <w:tc>
          <w:tcPr>
            <w:tcW w:type="dxa" w:w="5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 w:val="0"/>
                <w:color w:val="1F2937"/>
                <w:sz w:val="18"/>
              </w:rPr>
              <w:t>The competency board exposes progress, the workflow builds on push and daily schedule, and the monitor notifies Discord. Production fixes follow the initial release.</w:t>
            </w:r>
          </w:p>
        </w:tc>
        <w:tc>
          <w:tcPr>
            <w:tcW w:type="dxa" w:w="2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 w:val="0"/>
                <w:color w:val="65758B"/>
                <w:sz w:val="17"/>
              </w:rPr>
              <w:t>home/status.org; .gitea/workflows/build.yml; 262d943; 08516fd</w:t>
            </w:r>
          </w:p>
        </w:tc>
      </w:tr>
    </w:tbl>
    <w:p>
      <w:pPr>
        <w:pStyle w:val="Heading1"/>
        <w:keepNext/>
      </w:pPr>
      <w:r>
        <w:rPr>
          <w:rFonts w:ascii="Calibri" w:hAnsi="Calibri"/>
          <w:b/>
          <w:color w:val="2E74B5"/>
          <w:sz w:val="32"/>
        </w:rPr>
        <w:t>2 | Dependency flow and critical path</w:t>
      </w:r>
    </w:p>
    <w:p>
      <w:pPr>
        <w:spacing w:after="100"/>
      </w:pPr>
      <w:r>
        <w:rPr>
          <w:rFonts w:ascii="Calibri" w:hAnsi="Calibri"/>
          <w:color w:val="1F2937"/>
          <w:sz w:val="22"/>
        </w:rPr>
        <w:t>The documented path below controls the order of work. A later stage cannot be considered complete until its upstream output exists and passes the relevant check.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B7C9DE"/>
          <w:left w:val="single" w:sz="7" w:space="0" w:color="B7C9DE"/>
          <w:bottom w:val="single" w:sz="7" w:space="0" w:color="B7C9DE"/>
          <w:right w:val="single" w:sz="7" w:space="0" w:color="B7C9DE"/>
          <w:insideH w:val="single" w:sz="7" w:space="0" w:color="B7C9DE"/>
          <w:insideV w:val="single" w:sz="7" w:space="0" w:color="B7C9DE"/>
        </w:tblBorders>
      </w:tblPr>
      <w:tblGrid>
        <w:gridCol w:w="1872"/>
        <w:gridCol w:w="1872"/>
        <w:gridCol w:w="1872"/>
        <w:gridCol w:w="1872"/>
        <w:gridCol w:w="1872"/>
      </w:tblGrid>
      <w:tr>
        <w:trPr>
          <w:tblHeader w:val="true"/>
        </w:trPr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2545"/>
          </w:tcPr>
          <w:p>
            <w:pPr>
              <w:spacing w:after="4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1. PLAN</w:t>
            </w:r>
          </w:p>
          <w:p>
            <w:pPr>
              <w:spacing w:after="0"/>
              <w:jc w:val="center"/>
            </w:pPr>
            <w:r>
              <w:rPr>
                <w:rFonts w:ascii="Calibri" w:hAnsi="Calibri"/>
                <w:color w:val="FFFFFF"/>
                <w:sz w:val="16"/>
              </w:rPr>
              <w:t>Backlog + scope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pPr>
              <w:spacing w:after="4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2. BUILD</w:t>
            </w:r>
          </w:p>
          <w:p>
            <w:pPr>
              <w:spacing w:after="0"/>
              <w:jc w:val="center"/>
            </w:pPr>
            <w:r>
              <w:rPr>
                <w:rFonts w:ascii="Calibri" w:hAnsi="Calibri"/>
                <w:color w:val="FFFFFF"/>
                <w:sz w:val="16"/>
              </w:rPr>
              <w:t>Org + assets + code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F4D78"/>
          </w:tcPr>
          <w:p>
            <w:pPr>
              <w:spacing w:after="4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3. TEST</w:t>
            </w:r>
          </w:p>
          <w:p>
            <w:pPr>
              <w:spacing w:after="0"/>
              <w:jc w:val="center"/>
            </w:pPr>
            <w:r>
              <w:rPr>
                <w:rFonts w:ascii="Calibri" w:hAnsi="Calibri"/>
                <w:color w:val="FFFFFF"/>
                <w:sz w:val="16"/>
              </w:rPr>
              <w:t>Unit + build checks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E74B5"/>
          </w:tcPr>
          <w:p>
            <w:pPr>
              <w:spacing w:after="4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4. PUBLISH</w:t>
            </w:r>
          </w:p>
          <w:p>
            <w:pPr>
              <w:spacing w:after="0"/>
              <w:jc w:val="center"/>
            </w:pPr>
            <w:r>
              <w:rPr>
                <w:rFonts w:ascii="Calibri" w:hAnsi="Calibri"/>
                <w:color w:val="FFFFFF"/>
                <w:sz w:val="16"/>
              </w:rPr>
              <w:t>output/ + search index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2545"/>
          </w:tcPr>
          <w:p>
            <w:pPr>
              <w:spacing w:after="4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5. MONITOR</w:t>
            </w:r>
          </w:p>
          <w:p>
            <w:pPr>
              <w:spacing w:after="0"/>
              <w:jc w:val="center"/>
            </w:pPr>
            <w:r>
              <w:rPr>
                <w:rFonts w:ascii="Calibri" w:hAnsi="Calibri"/>
                <w:color w:val="FFFFFF"/>
                <w:sz w:val="16"/>
              </w:rPr>
              <w:t>Gitea + Discord</w:t>
            </w:r>
          </w:p>
        </w:tc>
      </w:tr>
    </w:tbl>
    <w:p>
      <w:pPr>
        <w:spacing w:before="100" w:after="0"/>
      </w:pPr>
      <w:r>
        <w:rPr>
          <w:rFonts w:ascii="Calibri" w:hAnsi="Calibri"/>
          <w:b/>
          <w:color w:val="0B2545"/>
          <w:sz w:val="22"/>
        </w:rPr>
        <w:t xml:space="preserve">Key dependency: </w:t>
      </w:r>
      <w:r>
        <w:rPr>
          <w:rFonts w:ascii="Calibri" w:hAnsi="Calibri"/>
          <w:color w:val="1F2937"/>
          <w:sz w:val="22"/>
        </w:rPr>
        <w:t>interactive pages depend on same-origin APIs outside this repository. The README states that the static site remains readable when those services are unavailable, which makes scope and service expectations explicit.</w:t>
      </w:r>
    </w:p>
    <w:p>
      <w:pPr>
        <w:sectPr>
          <w:headerReference w:type="default" r:id="rId9"/>
          <w:footerReference w:type="default" r:id="rId10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spacing w:after="40"/>
      </w:pPr>
      <w:r>
        <w:rPr>
          <w:rFonts w:ascii="Calibri" w:hAnsi="Calibri"/>
          <w:b/>
          <w:color w:val="B7791F"/>
          <w:sz w:val="18"/>
        </w:rPr>
        <w:t>DELIVERY RECORD</w:t>
      </w:r>
    </w:p>
    <w:p>
      <w:pPr>
        <w:spacing w:after="100"/>
      </w:pPr>
      <w:r>
        <w:rPr>
          <w:rFonts w:ascii="Calibri" w:hAnsi="Calibri"/>
          <w:b/>
          <w:color w:val="0B2545"/>
          <w:sz w:val="40"/>
        </w:rPr>
        <w:t>From plan to maintained outcome</w:t>
      </w:r>
    </w:p>
    <w:p>
      <w:pPr>
        <w:pStyle w:val="Heading1"/>
        <w:keepNext/>
      </w:pPr>
      <w:r>
        <w:rPr>
          <w:rFonts w:ascii="Calibri" w:hAnsi="Calibri"/>
          <w:b/>
          <w:color w:val="2E74B5"/>
          <w:sz w:val="32"/>
        </w:rPr>
        <w:t>3 | Roadmap evidenced by Git history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D7DEE8"/>
          <w:left w:val="single" w:sz="6" w:space="0" w:color="D7DEE8"/>
          <w:bottom w:val="single" w:sz="6" w:space="0" w:color="D7DEE8"/>
          <w:right w:val="single" w:sz="6" w:space="0" w:color="D7DEE8"/>
          <w:insideH w:val="single" w:sz="6" w:space="0" w:color="D7DEE8"/>
          <w:insideV w:val="single" w:sz="6" w:space="0" w:color="D7DEE8"/>
        </w:tblBorders>
      </w:tblPr>
      <w:tblGrid>
        <w:gridCol w:w="1500"/>
        <w:gridCol w:w="1650"/>
        <w:gridCol w:w="4350"/>
        <w:gridCol w:w="1860"/>
      </w:tblGrid>
      <w:tr>
        <w:trPr>
          <w:tblHeader w:val="true"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2545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18"/>
              </w:rPr>
              <w:t>When</w:t>
            </w:r>
          </w:p>
        </w:tc>
        <w:tc>
          <w:tcPr>
            <w:tcW w:type="dxa" w:w="1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2545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18"/>
              </w:rPr>
              <w:t>Milestone</w:t>
            </w:r>
          </w:p>
        </w:tc>
        <w:tc>
          <w:tcPr>
            <w:tcW w:type="dxa" w:w="4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2545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18"/>
              </w:rPr>
              <w:t>Outcome</w:t>
            </w:r>
          </w:p>
        </w:tc>
        <w:tc>
          <w:tcPr>
            <w:tcW w:type="dxa" w:w="1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B2545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/>
                <w:color w:val="FFFFFF"/>
                <w:sz w:val="18"/>
              </w:rPr>
              <w:t>Commit(s)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 w:val="0"/>
                <w:color w:val="1F2937"/>
                <w:sz w:val="17"/>
              </w:rPr>
              <w:t>Aug 2025</w:t>
            </w:r>
          </w:p>
        </w:tc>
        <w:tc>
          <w:tcPr>
            <w:tcW w:type="dxa" w:w="16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/>
                <w:color w:val="0B2545"/>
                <w:sz w:val="17"/>
              </w:rPr>
              <w:t>Foundation</w:t>
            </w:r>
          </w:p>
        </w:tc>
        <w:tc>
          <w:tcPr>
            <w:tcW w:type="dxa" w:w="4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 w:val="0"/>
                <w:color w:val="1F2937"/>
                <w:sz w:val="17"/>
              </w:rPr>
              <w:t>Initial repository established</w:t>
            </w:r>
          </w:p>
        </w:tc>
        <w:tc>
          <w:tcPr>
            <w:tcW w:type="dxa" w:w="1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 w:val="0"/>
                <w:color w:val="0B2545"/>
                <w:sz w:val="17"/>
              </w:rPr>
              <w:t>6185867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 w:val="0"/>
                <w:color w:val="1F2937"/>
                <w:sz w:val="17"/>
              </w:rPr>
              <w:t>Dec 2025-Jan 2026</w:t>
            </w:r>
          </w:p>
        </w:tc>
        <w:tc>
          <w:tcPr>
            <w:tcW w:type="dxa" w:w="16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/>
                <w:color w:val="0B2545"/>
                <w:sz w:val="17"/>
              </w:rPr>
              <w:t>Plan + visibility</w:t>
            </w:r>
          </w:p>
        </w:tc>
        <w:tc>
          <w:tcPr>
            <w:tcW w:type="dxa" w:w="4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 w:val="0"/>
                <w:color w:val="1F2937"/>
                <w:sz w:val="17"/>
              </w:rPr>
              <w:t>Build/search work recorded; competency progress bar added</w:t>
            </w:r>
          </w:p>
        </w:tc>
        <w:tc>
          <w:tcPr>
            <w:tcW w:type="dxa" w:w="1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 w:val="0"/>
                <w:color w:val="0B2545"/>
                <w:sz w:val="17"/>
              </w:rPr>
              <w:t>c15fcda; 903eb88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 w:val="0"/>
                <w:color w:val="1F2937"/>
                <w:sz w:val="17"/>
              </w:rPr>
              <w:t>May-Jul 2026</w:t>
            </w:r>
          </w:p>
        </w:tc>
        <w:tc>
          <w:tcPr>
            <w:tcW w:type="dxa" w:w="16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/>
                <w:color w:val="0B2545"/>
                <w:sz w:val="17"/>
              </w:rPr>
              <w:t>Quality + structure</w:t>
            </w:r>
          </w:p>
        </w:tc>
        <w:tc>
          <w:tcPr>
            <w:tcW w:type="dxa" w:w="4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 w:val="0"/>
                <w:color w:val="1F2937"/>
                <w:sz w:val="17"/>
              </w:rPr>
              <w:t>Tests added; engineering guide centralised; platform refactored</w:t>
            </w:r>
          </w:p>
        </w:tc>
        <w:tc>
          <w:tcPr>
            <w:tcW w:type="dxa" w:w="1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 w:val="0"/>
                <w:color w:val="0B2545"/>
                <w:sz w:val="17"/>
              </w:rPr>
              <w:t>4f0b042; 2fb8891; 7afc554; 5b59f57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 w:val="0"/>
                <w:color w:val="1F2937"/>
                <w:sz w:val="17"/>
              </w:rPr>
              <w:t>30 Jul 2026</w:t>
            </w:r>
          </w:p>
        </w:tc>
        <w:tc>
          <w:tcPr>
            <w:tcW w:type="dxa" w:w="16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/>
                <w:color w:val="0B2545"/>
                <w:sz w:val="17"/>
              </w:rPr>
              <w:t>Release</w:t>
            </w:r>
          </w:p>
        </w:tc>
        <w:tc>
          <w:tcPr>
            <w:tcW w:type="dxa" w:w="4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 w:val="0"/>
                <w:color w:val="1F2937"/>
                <w:sz w:val="17"/>
              </w:rPr>
              <w:t>Standalone Two Rivers experience delivered with code, content and tests</w:t>
            </w:r>
          </w:p>
        </w:tc>
        <w:tc>
          <w:tcPr>
            <w:tcW w:type="dxa" w:w="1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 w:val="0"/>
                <w:color w:val="0B2545"/>
                <w:sz w:val="17"/>
              </w:rPr>
              <w:t>4659edc</w:t>
            </w:r>
          </w:p>
        </w:tc>
      </w:tr>
      <w:t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 w:val="0"/>
                <w:color w:val="1F2937"/>
                <w:sz w:val="17"/>
              </w:rPr>
              <w:t>Jul-Aug 2026</w:t>
            </w:r>
          </w:p>
        </w:tc>
        <w:tc>
          <w:tcPr>
            <w:tcW w:type="dxa" w:w="16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/>
                <w:color w:val="0B2545"/>
                <w:sz w:val="17"/>
              </w:rPr>
              <w:t>Operate + adapt</w:t>
            </w:r>
          </w:p>
        </w:tc>
        <w:tc>
          <w:tcPr>
            <w:tcW w:type="dxa" w:w="4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 w:val="0"/>
                <w:color w:val="1F2937"/>
                <w:sz w:val="17"/>
              </w:rPr>
              <w:t>Age-gate and production MIME issues fixed after release</w:t>
            </w:r>
          </w:p>
        </w:tc>
        <w:tc>
          <w:tcPr>
            <w:tcW w:type="dxa" w:w="1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Calibri" w:hAnsi="Calibri"/>
                <w:b w:val="0"/>
                <w:color w:val="0B2545"/>
                <w:sz w:val="17"/>
              </w:rPr>
              <w:t>262d943; 08516fd</w:t>
            </w:r>
          </w:p>
        </w:tc>
      </w:tr>
    </w:tbl>
    <w:p>
      <w:pPr>
        <w:pStyle w:val="Heading1"/>
        <w:keepNext/>
      </w:pPr>
      <w:r>
        <w:rPr>
          <w:rFonts w:ascii="Calibri" w:hAnsi="Calibri"/>
          <w:b/>
          <w:color w:val="2E74B5"/>
          <w:sz w:val="32"/>
        </w:rPr>
        <w:t>4 | Maintaining progress and managing expectations</w:t>
      </w:r>
    </w:p>
    <w:p>
      <w:pPr>
        <w:spacing w:after="80"/>
        <w:ind w:left="216" w:hanging="216"/>
      </w:pPr>
      <w:r>
        <w:rPr>
          <w:rFonts w:ascii="Calibri" w:hAnsi="Calibri"/>
          <w:color w:val="B7791F"/>
          <w:sz w:val="16"/>
        </w:rPr>
        <w:t xml:space="preserve">■ </w:t>
      </w:r>
      <w:r>
        <w:rPr>
          <w:rFonts w:ascii="Calibri" w:hAnsi="Calibri"/>
          <w:b/>
          <w:color w:val="0B2545"/>
          <w:sz w:val="22"/>
        </w:rPr>
        <w:t xml:space="preserve">Visible status: </w:t>
      </w:r>
      <w:r>
        <w:rPr>
          <w:rFonts w:ascii="Calibri" w:hAnsi="Calibri"/>
          <w:color w:val="1F2937"/>
          <w:sz w:val="22"/>
        </w:rPr>
        <w:t>The backlog distinguishes queued, active and completed work; the separate competency board displays progress and supports moving items.</w:t>
      </w:r>
    </w:p>
    <w:p>
      <w:pPr>
        <w:spacing w:after="80"/>
        <w:ind w:left="216" w:hanging="216"/>
      </w:pPr>
      <w:r>
        <w:rPr>
          <w:rFonts w:ascii="Calibri" w:hAnsi="Calibri"/>
          <w:color w:val="B7791F"/>
          <w:sz w:val="16"/>
        </w:rPr>
        <w:t xml:space="preserve">■ </w:t>
      </w:r>
      <w:r>
        <w:rPr>
          <w:rFonts w:ascii="Calibri" w:hAnsi="Calibri"/>
          <w:b/>
          <w:color w:val="0B2545"/>
          <w:sz w:val="22"/>
        </w:rPr>
        <w:t xml:space="preserve">Controlled delivery: </w:t>
      </w:r>
      <w:r>
        <w:rPr>
          <w:rFonts w:ascii="Calibri" w:hAnsi="Calibri"/>
          <w:color w:val="1F2937"/>
          <w:sz w:val="22"/>
        </w:rPr>
        <w:t>Push and daily scheduled builds use a single non-cancelling concurrency group. The workflow monitors the result and sends a Discord notification.</w:t>
      </w:r>
    </w:p>
    <w:p>
      <w:pPr>
        <w:spacing w:after="80"/>
        <w:ind w:left="216" w:hanging="216"/>
      </w:pPr>
      <w:r>
        <w:rPr>
          <w:rFonts w:ascii="Calibri" w:hAnsi="Calibri"/>
          <w:color w:val="B7791F"/>
          <w:sz w:val="16"/>
        </w:rPr>
        <w:t xml:space="preserve">■ </w:t>
      </w:r>
      <w:r>
        <w:rPr>
          <w:rFonts w:ascii="Calibri" w:hAnsi="Calibri"/>
          <w:b/>
          <w:color w:val="0B2545"/>
          <w:sz w:val="22"/>
        </w:rPr>
        <w:t xml:space="preserve">Quality gates: </w:t>
      </w:r>
      <w:r>
        <w:rPr>
          <w:rFonts w:ascii="Calibri" w:hAnsi="Calibri"/>
          <w:color w:val="1F2937"/>
          <w:sz w:val="22"/>
        </w:rPr>
        <w:t>The README defines test commands and the repository includes Emacs build tests plus game/state/system tests. Testing is treated as a dependency of publishing, not an afterthought.</w:t>
      </w:r>
    </w:p>
    <w:p>
      <w:pPr>
        <w:spacing w:after="80"/>
        <w:ind w:left="216" w:hanging="216"/>
      </w:pPr>
      <w:r>
        <w:rPr>
          <w:rFonts w:ascii="Calibri" w:hAnsi="Calibri"/>
          <w:color w:val="B7791F"/>
          <w:sz w:val="16"/>
        </w:rPr>
        <w:t xml:space="preserve">■ </w:t>
      </w:r>
      <w:r>
        <w:rPr>
          <w:rFonts w:ascii="Calibri" w:hAnsi="Calibri"/>
          <w:b/>
          <w:color w:val="0B2545"/>
          <w:sz w:val="22"/>
        </w:rPr>
        <w:t xml:space="preserve">Expectation reset: </w:t>
      </w:r>
      <w:r>
        <w:rPr>
          <w:rFonts w:ascii="Calibri" w:hAnsi="Calibri"/>
          <w:color w:val="1F2937"/>
          <w:sz w:val="22"/>
        </w:rPr>
        <w:t>The July release was followed by focused production corrections rather than hiding issues. Small corrective commits show that the plan changed in response to real operating evidence.</w:t>
      </w:r>
    </w:p>
    <w:p>
      <w:pPr>
        <w:pStyle w:val="Heading1"/>
        <w:keepNext/>
      </w:pPr>
      <w:r>
        <w:rPr>
          <w:rFonts w:ascii="Calibri" w:hAnsi="Calibri"/>
          <w:b/>
          <w:color w:val="2E74B5"/>
          <w:sz w:val="32"/>
        </w:rPr>
        <w:t>5 | Evaluation and next improvement</w:t>
      </w:r>
    </w:p>
    <w:p>
      <w:pPr>
        <w:spacing w:after="100"/>
      </w:pPr>
      <w:r>
        <w:rPr>
          <w:rFonts w:ascii="Calibri" w:hAnsi="Calibri"/>
          <w:b/>
          <w:color w:val="276749"/>
          <w:sz w:val="22"/>
        </w:rPr>
        <w:t xml:space="preserve">What this demonstrates. </w:t>
      </w:r>
      <w:r>
        <w:rPr>
          <w:rFonts w:ascii="Calibri" w:hAnsi="Calibri"/>
          <w:color w:val="1F2937"/>
          <w:sz w:val="22"/>
        </w:rPr>
        <w:t>I can decide what comes next, sequence work around dependencies, maintain momentum over time, and communicate what is complete, active or externally constrained. I combine iterative delivery with explicit release gates.</w:t>
      </w:r>
    </w:p>
    <w:p>
      <w:pPr>
        <w:spacing w:after="100"/>
      </w:pPr>
      <w:r>
        <w:rPr>
          <w:rFonts w:ascii="Calibri" w:hAnsi="Calibri"/>
          <w:b/>
          <w:color w:val="9B1C1C"/>
          <w:sz w:val="22"/>
        </w:rPr>
        <w:t xml:space="preserve">Improvement. </w:t>
      </w:r>
      <w:r>
        <w:rPr>
          <w:rFonts w:ascii="Calibri" w:hAnsi="Calibri"/>
          <w:color w:val="1F2937"/>
          <w:sz w:val="22"/>
        </w:rPr>
        <w:t>The current backlog is effective but informal. I would add owner, target date, dependency and acceptance-check fields, and replace vague commit messages with outcome-based descriptions. This would make deadline forecasting and stakeholder updates more reliable.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7" w:space="0" w:color="D8C28F"/>
          <w:left w:val="single" w:sz="7" w:space="0" w:color="D8C28F"/>
          <w:bottom w:val="single" w:sz="7" w:space="0" w:color="D8C28F"/>
          <w:right w:val="single" w:sz="7" w:space="0" w:color="D8C28F"/>
          <w:insideH w:val="single" w:sz="7" w:space="0" w:color="D8C28F"/>
          <w:insideV w:val="single" w:sz="7" w:space="0" w:color="D8C28F"/>
        </w:tblBorders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8E8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B7791F"/>
                <w:sz w:val="19"/>
              </w:rPr>
              <w:t>Assessor verification</w:t>
            </w:r>
          </w:p>
          <w:p>
            <w:pPr>
              <w:spacing w:after="0"/>
            </w:pPr>
            <w:r>
              <w:rPr>
                <w:rFonts w:ascii="Calibri" w:hAnsi="Calibri"/>
                <w:color w:val="1F2937"/>
                <w:sz w:val="18"/>
              </w:rPr>
              <w:t>Review home/backlog.org, home/status.org, README.md, .gitea/workflows/build.yml and the cited Git commits. These sources evidence the plan, task flow, dependencies, delivery cadence and operating follow-up.</w:t>
            </w:r>
          </w:p>
        </w:tc>
      </w:tr>
    </w:tbl>
    <w:sectPr w:rsidR="00FC693F" w:rsidRPr="0006063C" w:rsidSect="00034616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ind w:left="0" w:right="0" w:firstLine="0"/>
      <w:jc w:val="center"/>
    </w:pPr>
    <w:r>
      <w:rPr>
        <w:rFonts w:ascii="Calibri" w:hAnsi="Calibri"/>
        <w:color w:val="65758B"/>
        <w:sz w:val="17"/>
      </w:rPr>
      <w:t>Org Web competency evidence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ind w:left="0" w:right="0" w:firstLine="0"/>
      <w:jc w:val="center"/>
    </w:pPr>
    <w:r>
      <w:rPr>
        <w:rFonts w:ascii="Calibri" w:hAnsi="Calibri"/>
        <w:color w:val="65758B"/>
        <w:sz w:val="17"/>
      </w:rPr>
      <w:t>Org Web competency evidence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ind w:left="0" w:right="0" w:firstLine="0"/>
      <w:jc w:val="right"/>
    </w:pPr>
    <w:r>
      <w:rPr>
        <w:rFonts w:ascii="Calibri" w:hAnsi="Calibri"/>
        <w:b/>
        <w:color w:val="65758B"/>
        <w:sz w:val="16"/>
      </w:rPr>
      <w:t>KNOWLEDGE | TECHOPS | ENGINEERING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ind w:left="0" w:right="0" w:firstLine="0"/>
      <w:jc w:val="right"/>
    </w:pPr>
    <w:r>
      <w:rPr>
        <w:rFonts w:ascii="Calibri" w:hAnsi="Calibri"/>
        <w:b/>
        <w:color w:val="65758B"/>
        <w:sz w:val="16"/>
      </w:rPr>
      <w:t>KNOWLEDGE | TECHOPS | ENGINEERING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1F29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Create and Manage Personal Projects - Competency Evidence</dc:title>
  <dc:subject>KnowledgeTechOps Engineering competency evidence</dc:subject>
  <dc:creator>Zaine</dc:creator>
  <cp:keywords>personal project, planning, dependencies, roadmap, progress, expectations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